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64" w:rsidRDefault="0016071E">
      <w:bookmarkStart w:id="0" w:name="_GoBack"/>
      <w:bookmarkEnd w:id="0"/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16071E" w:rsidRPr="0016071E" w:rsidTr="0016071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78"/>
              <w:gridCol w:w="3120"/>
              <w:gridCol w:w="2866"/>
            </w:tblGrid>
            <w:tr w:rsidR="0016071E" w:rsidRPr="0016071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6071E" w:rsidRPr="0016071E" w:rsidRDefault="0016071E" w:rsidP="0016071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16071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20 Ağustos </w:t>
                  </w:r>
                  <w:proofErr w:type="gramStart"/>
                  <w:r w:rsidRPr="0016071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6071E" w:rsidRPr="0016071E" w:rsidRDefault="0016071E" w:rsidP="0016071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16071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6071E" w:rsidRPr="0016071E" w:rsidRDefault="0016071E" w:rsidP="0016071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6071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28741</w:t>
                  </w:r>
                  <w:proofErr w:type="gramEnd"/>
                </w:p>
              </w:tc>
            </w:tr>
            <w:tr w:rsidR="0016071E" w:rsidRPr="0016071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6071E" w:rsidRPr="0016071E" w:rsidRDefault="0016071E" w:rsidP="00160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6071E" w:rsidRPr="0016071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16071E" w:rsidRPr="0016071E" w:rsidRDefault="0016071E" w:rsidP="0016071E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FTL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MUHASEBE VER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S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STEM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 D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OLAN TARIMSAL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LETMELERE KATILIM DESTE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DEMES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YAPILMASINA DA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TEBL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p w:rsidR="0016071E" w:rsidRPr="0016071E" w:rsidRDefault="0016071E" w:rsidP="0016071E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2013/50)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MVA) sistemine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denmesine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sisteminin kuruldu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iller olan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stanbul, Samsun, Malatya, Adana, Konya, Bursa, Erzurum,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urfa, Nev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ehir, Tekirda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Giresun,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de,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esas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sisteme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2013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demesine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18/4/2006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5488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Kanununun 19 uncu maddesinin (g) bendi, 22/1/2009 tarihli ve 27118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Sisteminin Kurulu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15 inci maddesi ile 11/3/2013 tarihli ve 2013/4463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2013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Desteklemelere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Karara dayan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Anket formu: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teknik, mal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ekonomik bilgilerinin toplanmas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haz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rlanan, Avrupa Birli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uygulamalar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uyumlu soru formunu,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Banka: T.C. Ziraat Bankas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A.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 (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KS):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olu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turulan ve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 kimlik, arazi ve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bilgileri ile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desteklemelere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bilgilerin de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taban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MVA):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gelir, gider ve faaliyetlerine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muhasebe verilerinin toplanmas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depolanmas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istatistik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erlendirmelerinin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olu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sistemi,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Anla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Verilerin,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veri toplama usullerinin uygulanarak toplanaca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aras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imzalanan, her iki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ek-1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belgeyi,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cmal 1: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rlanan,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detay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hak edi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ve bir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ek-2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belgeyi,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cmal 2: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cmal 1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bilgilere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rlanan, il detay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hakedi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ve bir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ek-3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belgeyi,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2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yer alan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MVA Komisyonu: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koordinasyon ve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veriler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anket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bir personelden olu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se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ilmesinden,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erlendirmesinden, ihtilaflar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incelenerek sonu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gerekli durumlarda ihtilaflar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Merkez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MVA Komisyonuna iletilmesinden,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demeye esas icmallerin onaylanmas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 komisyonu,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koordinat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Sistemin kuruldu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illerdeki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koordinasyon ve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veriler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letme: Yasal durumu ne olursa olsun, sahip oldu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ortak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yar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ya da kiralama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tuttu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arazide kendi ad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bitkisel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yeti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tiricili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b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yeti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tiricili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ipek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yapan veya karma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yapan 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veya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 ekonomik b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kteki, tek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alt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ekonomik birimi,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i: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anla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imzalayarak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sistemine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 ve muhasebe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faaliyetlerine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verilerini belirlenen zamanlarda veri toplay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payla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verileri Sorumlu Birim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uygulanan testler sonunda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rulanan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her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belirlenen miktarda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demeyi,</w:t>
                  </w:r>
                </w:p>
                <w:p w:rsid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Merkez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Komisyonu: Sorumlu Birim b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nyesinde, ilgili daire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di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erleri konusunda deneyimli teknik personel olmak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toplam be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illerden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anket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 ve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ve il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intikal eden teknik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erikli ve ihtilafl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erlendirilmesinden sorumlu komisyonu,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Muhasebe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1/1/2012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31/12/2012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aral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Sorumlu Birim: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Reformu Genel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faaliyetler: Bitkisel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ve/veya hayvansal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ve bu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sonucu elde edilen mallar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ilk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leme, koruma ve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faaliyetleri,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Rehberlik ve Tefti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Rehberlik ve Tefti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Veri toplay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(anket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r):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MVA verilerinin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anket formu yoluyla toplanmas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kontrol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sorumlu, bu konuda sorumlu birimden 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teknik personelini,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 yap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tar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demeler,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Sistemine (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KS) ve /veya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herhangi bir idari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sistemine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sistemine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olan, bir muhasebe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faaliyetlerine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muhasebe verilerini belirlenen zamanlarda veri toplay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payla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verileri Sorumlu Birim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kontroller sonunda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 miktar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5 inci maddede belirtilen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2013/4463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istinaden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bir kez olmak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2013 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375 TL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demeler i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in gerekli finansman ve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 plan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finansman b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enin ilgili kalemine tahsis edilen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deneklerden kar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demeler,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Bankaya kaynak aktar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haz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rlanarak onaylanan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cmal 1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Banka arac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ilgili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ubelerde daha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veya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hesaplara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toplam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tutar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%0,2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b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enin ilgili kaleminden Bankaya hizmet komisyonu olarak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revli kurum ve kurulu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uygulamas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Sorumlu Birim, Merkez ve il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 takvimi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bir muhasebe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boyunca ger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tirdi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faaliyetlerine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veriler, takip eden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anket yoluyla toplan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Her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sadece bir anket formu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Sorumlu Birim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 bir il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bildirilen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il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belirlenen se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plan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ilir. Se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letmelerle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anla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anla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imzalanan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anket uygulan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Anket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kontrol edilmelerinin ard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 Birime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Anket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 Birim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testlere tabi tutularak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Sorumlu Birim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anket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rulanan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kesin icmalleri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il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komisyonuna bildirilir.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anket formu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rulanan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 sistemi arac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 2013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giri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kesin icmalleri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cmal 2 onaylan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Sorumlu Birime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Sorumlu Birim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cmal 2 seviyesinde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demeye esas bilgileri Bankaya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Yukar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esnas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revlilerce veri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esaslara uyulur.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Sorumlu Birimle il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uygulamaya ili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koordinasyon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il koordinat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kapsamda il 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anket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rlere da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uygulaman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takibinden, doldurulan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merkeze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nderilmesinden ve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rulama 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recinin tamamlanmas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koordinat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sorumludur.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Uygulamalar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denetimine ili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g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yetkiler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uygulamas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il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zemedi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ihtilafl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 Merkez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Komisyonu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erlendirilerek karara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Sonu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namayan durumlar Rehberlik ve Tefti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iletilir.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destek kapsam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kalacak tar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letmeler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MVA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uygulamas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yararlanamaz.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muhasebe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Bakanl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herhangi bir idari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sistemine kay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anla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imzalamak suretiyle ba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yapmayan,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c) Verilerini istenen zamanda ve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olarak veri toplay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payla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Sorumlu Birim taraf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 sonucunda formlar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rulanmayan,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Kendi iste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iyle sistemden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Haks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demelerin geri al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hak mahrumiyeti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Haks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yere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destekleme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demeleri,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tarihinden itibaren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21/7/1953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6183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Amme Alacaklar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Usul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Kanunun 51 inci maddesinde belirtilen gecikme zamm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hesaplanan kanun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faizi ile birlikte 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Kanun h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geri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Haks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demenin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demeyi sa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layan, belge veya belgeleri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ger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geri al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tutarlar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tahsilinde 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 sorumlu tutulurlar.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Karar kapsam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destekleme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demelerinden, idari hata sonucu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belgelerle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hari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haks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yere yararland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edilen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reticiler, be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hi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destekleme program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yararland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lmazlar.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tebli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2/10/2012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28429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Sistemine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2012/67),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16/10/2011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28086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Sistemine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2011/45),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23/9/2010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27708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Sistemine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2010/43),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27/3/2009</w:t>
                  </w:r>
                  <w:proofErr w:type="gram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27182 say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iftlik Muhasebe Veri A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Sistemine D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Olan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Kat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2009/35).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16071E" w:rsidRPr="0016071E" w:rsidRDefault="0016071E" w:rsidP="0016071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16071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6071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6071E" w:rsidRPr="0016071E" w:rsidRDefault="0016071E" w:rsidP="0016071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ÇİFTLİK MUHASEBE VERİ AĞI SİSTEMİNE KATILIM ANLAŞMASI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Gıda, Tarım ve Hayvancılık Bakanlığı tarafından yürütülmekte olan Çiftlik Muhasebe Veri Ağı Sistemi (ÇMVA) için </w:t>
                  </w: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….</w:t>
                  </w:r>
                  <w:proofErr w:type="gramEnd"/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yılı</w:t>
                  </w:r>
                  <w:proofErr w:type="gramEnd"/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içerisinde uygulanacak olan açılış- kapanış envanteri ve formlarda yer alan soruları kendi rızamla cevaplamayı ve aşağıda belirtilen yükümlükleri yerine getirmeyi kabul ediyorum. </w:t>
                  </w:r>
                </w:p>
                <w:p w:rsidR="0016071E" w:rsidRPr="0016071E" w:rsidRDefault="0016071E" w:rsidP="0016071E">
                  <w:pPr>
                    <w:tabs>
                      <w:tab w:val="left" w:pos="684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tabs>
                      <w:tab w:val="left" w:pos="6840"/>
                    </w:tabs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İmza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…/…/</w:t>
                  </w: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…..</w:t>
                  </w:r>
                  <w:proofErr w:type="gramEnd"/>
                </w:p>
                <w:p w:rsidR="0016071E" w:rsidRPr="0016071E" w:rsidRDefault="0016071E" w:rsidP="0016071E">
                  <w:pPr>
                    <w:tabs>
                      <w:tab w:val="left" w:pos="684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Çiftçinin Adı: 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Adresi: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Telefon :</w:t>
                  </w:r>
                  <w:proofErr w:type="gramEnd"/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T.C. Kimlik No: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ÇKS işletme </w:t>
                  </w:r>
                  <w:proofErr w:type="spellStart"/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No:u</w:t>
                  </w:r>
                  <w:proofErr w:type="spellEnd"/>
                  <w:proofErr w:type="gramEnd"/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Yukarıda kimlik ve adres bilgileri bulunan çiftçinin ÇMVA sistemine kaydı uygun bulunmuştur.</w:t>
                  </w:r>
                </w:p>
                <w:p w:rsidR="0016071E" w:rsidRPr="0016071E" w:rsidRDefault="0016071E" w:rsidP="0016071E">
                  <w:pPr>
                    <w:tabs>
                      <w:tab w:val="left" w:pos="8175"/>
                      <w:tab w:val="left" w:pos="8250"/>
                    </w:tabs>
                    <w:spacing w:after="0" w:line="240" w:lineRule="exact"/>
                    <w:ind w:left="5664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tabs>
                      <w:tab w:val="left" w:pos="8175"/>
                      <w:tab w:val="left" w:pos="8250"/>
                    </w:tabs>
                    <w:spacing w:after="0" w:line="240" w:lineRule="exact"/>
                    <w:ind w:left="5664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…………</w:t>
                  </w:r>
                  <w:proofErr w:type="gramEnd"/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  İl Müdürü:</w:t>
                  </w:r>
                </w:p>
                <w:p w:rsidR="0016071E" w:rsidRPr="0016071E" w:rsidRDefault="0016071E" w:rsidP="0016071E">
                  <w:pPr>
                    <w:tabs>
                      <w:tab w:val="left" w:pos="8175"/>
                      <w:tab w:val="left" w:pos="8250"/>
                    </w:tabs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…/…/</w:t>
                  </w: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……</w:t>
                  </w:r>
                  <w:proofErr w:type="gramEnd"/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YÜKÜMLÜLÜKLER: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A) Çiftçilerin Yükümlülüğü: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1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Çalışmanın yapılacağı tarihte işletmede bulunmak, 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1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Formlarda yer alan işletmenin tarımsal faaliyetlerine ilişkin olarak sorulacak soruları cevaplamak, 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1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Çiftçi kayıt defterini doldurmak, muhasebe kaydı ve her türlü bilgiyi (makbuz, fatura, belge gibi)  muhafaza etmek ve Bakanlık görevlisiyle paylaşmak. 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lastRenderedPageBreak/>
                    <w:t>B) Bakanlığın Yükümlülüğü: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2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Belli dönemlerde işletmeleri ziyaret ederek ÇMVA formlarını doldurmak, 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2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Çiftçilere, geliştirilen çiftçi kayıt defterlerinin kullanımına yönelik eğitim vermek, 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2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İşletmelerden toplanan bilginin gizliliğini sağlamak, 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2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Toplanan bilginin istatistik dışı amaçla kullanılmamasını sağlamak,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2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Sisteme katılarak yükümlülüklerini yerine getiren çiftçilere destekleme ödemesi yapmak,</w:t>
                  </w:r>
                </w:p>
                <w:p w:rsidR="0016071E" w:rsidRPr="0016071E" w:rsidRDefault="0016071E" w:rsidP="0016071E">
                  <w:pPr>
                    <w:numPr>
                      <w:ilvl w:val="0"/>
                      <w:numId w:val="2"/>
                    </w:numPr>
                    <w:spacing w:after="0" w:line="240" w:lineRule="exact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Sisteme katılan çiftçilere, işletmelerinin ekonomik durumuyla ilgili geri bildirim raporu hazırlamak.</w:t>
                  </w:r>
                  <w:proofErr w:type="gramEnd"/>
                </w:p>
                <w:p w:rsidR="0016071E" w:rsidRPr="0016071E" w:rsidRDefault="0016071E" w:rsidP="0016071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…….</w:t>
                  </w:r>
                  <w:proofErr w:type="gramEnd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YILI ÇMVA KATILIM DESTEĞİ ÖDEMESİ ÇİFTÇİ DETAYINDA İCMAL (İCMAL 1)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       </w:t>
                  </w: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İLİ                     :</w:t>
                  </w:r>
                  <w:proofErr w:type="gramEnd"/>
                </w:p>
                <w:p w:rsidR="0016071E" w:rsidRPr="0016071E" w:rsidRDefault="0016071E" w:rsidP="0016071E">
                  <w:pPr>
                    <w:spacing w:after="0" w:line="240" w:lineRule="exact"/>
                    <w:ind w:left="7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     </w:t>
                  </w: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İLÇESİ             :</w:t>
                  </w:r>
                  <w:proofErr w:type="gramEnd"/>
                </w:p>
                <w:tbl>
                  <w:tblPr>
                    <w:tblW w:w="853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76"/>
                    <w:gridCol w:w="705"/>
                    <w:gridCol w:w="1277"/>
                    <w:gridCol w:w="1822"/>
                    <w:gridCol w:w="1425"/>
                    <w:gridCol w:w="1335"/>
                    <w:gridCol w:w="997"/>
                  </w:tblGrid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TC Kimlik No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Vergi No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Soyadı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Katılım Desteği Miktarı  (TL)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9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6205" w:type="dxa"/>
                        <w:gridSpan w:val="5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8537" w:type="dxa"/>
                        <w:gridSpan w:val="7"/>
                      </w:tcPr>
                      <w:p w:rsidR="0016071E" w:rsidRPr="0016071E" w:rsidRDefault="0016071E" w:rsidP="0016071E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16071E" w:rsidRPr="0016071E" w:rsidRDefault="0016071E" w:rsidP="0016071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Yukarıda kimlik bilgileri yazılı kişilere, hizalarında kayıtlı miktarların 5488 sayılı Tarım Kanunu </w:t>
                        </w:r>
                        <w:proofErr w:type="gramStart"/>
                        <w:r w:rsidRPr="001607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  ÇMVA</w:t>
                        </w:r>
                        <w:proofErr w:type="gramEnd"/>
                        <w:r w:rsidRPr="001607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Sistemine Dahil Olan Çiftçilere Katılım Desteği Ödemesi Yapılmasına Dair Tebliğ (Tebliğ No:2013/50) gereğince ödenmesi uygundur.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2958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DÜZENLEYEN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KONTROL EDEN 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ONAYLAYAN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68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– Soyadı: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– Soyadı: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– Soyadı: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68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Görevi: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Görevi: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Görevi: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68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Tarih: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Tarih: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Tarih: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68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İmza: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İmza: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İmza: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jc w:val="center"/>
                    </w:trPr>
                    <w:tc>
                      <w:tcPr>
                        <w:tcW w:w="97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81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3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16071E" w:rsidRP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Ek-3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16071E" w:rsidRPr="0016071E" w:rsidRDefault="0016071E" w:rsidP="0016071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……</w:t>
                  </w:r>
                  <w:proofErr w:type="gramEnd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YILI ÇMVA KATILIM DESTEĞİ ÖDEMESİ İL DETAYINDA İCMAL (İCMAL 2)</w:t>
                  </w:r>
                </w:p>
                <w:p w:rsidR="0016071E" w:rsidRPr="0016071E" w:rsidRDefault="0016071E" w:rsidP="0016071E">
                  <w:pPr>
                    <w:spacing w:after="0" w:line="240" w:lineRule="exact"/>
                    <w:ind w:firstLineChars="100" w:firstLine="18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İLİ :</w:t>
                  </w:r>
                  <w:proofErr w:type="gramEnd"/>
                </w:p>
                <w:p w:rsidR="0016071E" w:rsidRPr="0016071E" w:rsidRDefault="0016071E" w:rsidP="0016071E">
                  <w:pPr>
                    <w:spacing w:after="0" w:line="240" w:lineRule="exact"/>
                    <w:ind w:left="7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607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56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22"/>
                    <w:gridCol w:w="329"/>
                    <w:gridCol w:w="1414"/>
                    <w:gridCol w:w="1421"/>
                    <w:gridCol w:w="843"/>
                    <w:gridCol w:w="589"/>
                    <w:gridCol w:w="2815"/>
                    <w:gridCol w:w="200"/>
                  </w:tblGrid>
                  <w:tr w:rsidR="0016071E" w:rsidRPr="0016071E" w:rsidTr="0016071E">
                    <w:trPr>
                      <w:trHeight w:val="240"/>
                      <w:jc w:val="center"/>
                    </w:trPr>
                    <w:tc>
                      <w:tcPr>
                        <w:tcW w:w="112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000000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İlin Adı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 İşletme (Çiftçi) Sayısı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ÇMVA Katılım Desteği Miktarı  (TL)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000000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single" w:sz="12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122" w:type="dxa"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2873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265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5733" w:type="dxa"/>
                        <w:gridSpan w:val="6"/>
                        <w:tcBorders>
                          <w:top w:val="single" w:sz="12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vAlign w:val="bottom"/>
                      </w:tcPr>
                      <w:p w:rsidR="0016071E" w:rsidRPr="0016071E" w:rsidRDefault="0016071E" w:rsidP="0016071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2873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DÜZENLEYEN</w:t>
                        </w:r>
                      </w:p>
                    </w:tc>
                    <w:tc>
                      <w:tcPr>
                        <w:tcW w:w="286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KONTROL EDEN 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ONAYLAYAN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45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– Soyadı: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– Soyadı: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– Soyadı: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45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Görevi: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Görevi: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Görevi: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45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trHeight w:val="20"/>
                      <w:jc w:val="center"/>
                    </w:trPr>
                    <w:tc>
                      <w:tcPr>
                        <w:tcW w:w="1452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İmza: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İmza:</w:t>
                        </w:r>
                      </w:p>
                    </w:tc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6071E" w:rsidRPr="0016071E" w:rsidRDefault="0016071E" w:rsidP="0016071E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16071E" w:rsidRPr="0016071E" w:rsidTr="0016071E">
                    <w:trPr>
                      <w:jc w:val="center"/>
                    </w:trPr>
                    <w:tc>
                      <w:tcPr>
                        <w:tcW w:w="1122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2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3" w:type="dxa"/>
                        <w:vAlign w:val="center"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6071E" w:rsidRPr="0016071E" w:rsidTr="0016071E">
                    <w:trPr>
                      <w:jc w:val="center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5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0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6071E" w:rsidRPr="0016071E" w:rsidRDefault="0016071E" w:rsidP="0016071E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607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16071E" w:rsidRPr="0016071E" w:rsidRDefault="0016071E" w:rsidP="0016071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6071E" w:rsidRPr="0016071E" w:rsidRDefault="0016071E" w:rsidP="0016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6071E" w:rsidRPr="0016071E" w:rsidRDefault="0016071E" w:rsidP="0016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071E" w:rsidRDefault="0016071E"/>
    <w:sectPr w:rsidR="0016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567"/>
    <w:multiLevelType w:val="hybridMultilevel"/>
    <w:tmpl w:val="EF289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7114C"/>
    <w:multiLevelType w:val="hybridMultilevel"/>
    <w:tmpl w:val="8A6CE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E"/>
    <w:rsid w:val="0016071E"/>
    <w:rsid w:val="00C25B82"/>
    <w:rsid w:val="00D96158"/>
    <w:rsid w:val="00E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6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16071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16071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16071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6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16071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16071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16071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GÜRKAN</dc:creator>
  <cp:lastModifiedBy>Harun GÜRKAN</cp:lastModifiedBy>
  <cp:revision>1</cp:revision>
  <dcterms:created xsi:type="dcterms:W3CDTF">2013-08-20T08:31:00Z</dcterms:created>
  <dcterms:modified xsi:type="dcterms:W3CDTF">2013-08-20T08:33:00Z</dcterms:modified>
</cp:coreProperties>
</file>